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166D86" w:rsidP="00DD57D4">
      <w:pPr>
        <w:rPr>
          <w:lang w:val="mk-MK"/>
        </w:rPr>
      </w:pPr>
      <w:bookmarkStart w:id="0" w:name="_GoBack"/>
      <w:bookmarkEnd w:id="0"/>
      <w:r>
        <w:rPr>
          <w:lang w:val="mk-MK"/>
        </w:rPr>
        <w:t>Врз основа на член 36, член 77-</w:t>
      </w:r>
      <w:r>
        <w:rPr>
          <w:lang w:val="en-US"/>
        </w:rPr>
        <w:t xml:space="preserve">s </w:t>
      </w:r>
      <w:r>
        <w:rPr>
          <w:lang w:val="mk-MK"/>
        </w:rPr>
        <w:t xml:space="preserve">од Законот за култура (Сл. весник на РМ бр.31/98, 49/03, 82/05, 24/07, 116/10, 47/11, 51/11, 136/12, 23/13, 187/13, 44/14, 61/15, 154/15, 39/16, 11/18 и 11/18), член 21 став 1 точка 11 од Статутот на НУЦК </w:t>
      </w:r>
      <w:r>
        <w:rPr>
          <w:lang w:val="en-US"/>
        </w:rPr>
        <w:t xml:space="preserve">“ </w:t>
      </w:r>
      <w:r>
        <w:rPr>
          <w:lang w:val="mk-MK"/>
        </w:rPr>
        <w:t xml:space="preserve">Антон Панов </w:t>
      </w:r>
      <w:r>
        <w:rPr>
          <w:lang w:val="en-US"/>
        </w:rPr>
        <w:t>“</w:t>
      </w:r>
      <w:r>
        <w:rPr>
          <w:lang w:val="mk-MK"/>
        </w:rPr>
        <w:t>- Струмица</w:t>
      </w:r>
      <w:r>
        <w:rPr>
          <w:lang w:val="en-US"/>
        </w:rPr>
        <w:t xml:space="preserve"> </w:t>
      </w:r>
      <w:r>
        <w:rPr>
          <w:lang w:val="mk-MK"/>
        </w:rPr>
        <w:t xml:space="preserve">, на предлог на в.д. Директорот Драган Маџиров на НУЦК </w:t>
      </w:r>
      <w:r>
        <w:rPr>
          <w:lang w:val="en-US"/>
        </w:rPr>
        <w:t xml:space="preserve">“ </w:t>
      </w:r>
      <w:r>
        <w:rPr>
          <w:lang w:val="mk-MK"/>
        </w:rPr>
        <w:t xml:space="preserve">Антон Панов </w:t>
      </w:r>
      <w:r>
        <w:rPr>
          <w:lang w:val="en-US"/>
        </w:rPr>
        <w:t>“</w:t>
      </w:r>
      <w:r>
        <w:rPr>
          <w:lang w:val="mk-MK"/>
        </w:rPr>
        <w:t>- Струмица</w:t>
      </w:r>
      <w:r>
        <w:rPr>
          <w:lang w:val="en-US"/>
        </w:rPr>
        <w:t xml:space="preserve">, </w:t>
      </w:r>
      <w:r>
        <w:rPr>
          <w:lang w:val="mk-MK"/>
        </w:rPr>
        <w:t>Управниот одбор на установата на седницата одржана на ден 04.08.2025 година го донесе следниот</w:t>
      </w:r>
      <w:r>
        <w:rPr>
          <w:lang w:val="en-US"/>
        </w:rPr>
        <w:t>:</w:t>
      </w:r>
    </w:p>
    <w:p w:rsidR="00166D86" w:rsidRPr="003C7303" w:rsidRDefault="00166D86" w:rsidP="00166D86">
      <w:pPr>
        <w:spacing w:after="0"/>
        <w:jc w:val="center"/>
        <w:rPr>
          <w:b/>
          <w:lang w:val="mk-MK"/>
        </w:rPr>
      </w:pPr>
      <w:r w:rsidRPr="003C7303">
        <w:rPr>
          <w:b/>
          <w:lang w:val="mk-MK"/>
        </w:rPr>
        <w:t>ПРАВИЛНИК</w:t>
      </w:r>
    </w:p>
    <w:p w:rsidR="00166D86" w:rsidRPr="003C7303" w:rsidRDefault="00166D86" w:rsidP="00166D86">
      <w:pPr>
        <w:spacing w:after="0"/>
        <w:jc w:val="center"/>
        <w:rPr>
          <w:b/>
          <w:lang w:val="mk-MK"/>
        </w:rPr>
      </w:pPr>
      <w:r w:rsidRPr="003C7303">
        <w:rPr>
          <w:b/>
          <w:lang w:val="mk-MK"/>
        </w:rPr>
        <w:t>за формата и содржината на јавниот оглас и пријавата за вработување,</w:t>
      </w:r>
    </w:p>
    <w:p w:rsidR="00166D86" w:rsidRPr="003C7303" w:rsidRDefault="00166D86" w:rsidP="00166D86">
      <w:pPr>
        <w:spacing w:after="0"/>
        <w:jc w:val="center"/>
        <w:rPr>
          <w:b/>
          <w:lang w:val="mk-MK"/>
        </w:rPr>
      </w:pPr>
      <w:r w:rsidRPr="003C7303">
        <w:rPr>
          <w:b/>
          <w:lang w:val="mk-MK"/>
        </w:rPr>
        <w:t>начинот на спроведување на аудицијата , како и начинот на бодување во зависност од категоријата и нивото на работно место за кое е објавен јавниот оглас</w:t>
      </w:r>
    </w:p>
    <w:p w:rsidR="003C7303" w:rsidRDefault="00166D86" w:rsidP="0068459D">
      <w:pPr>
        <w:spacing w:after="0"/>
        <w:jc w:val="center"/>
        <w:rPr>
          <w:b/>
          <w:lang w:val="mk-MK"/>
        </w:rPr>
      </w:pPr>
      <w:r w:rsidRPr="003C7303">
        <w:rPr>
          <w:b/>
          <w:lang w:val="mk-MK"/>
        </w:rPr>
        <w:t xml:space="preserve">во НУЦК </w:t>
      </w:r>
      <w:r w:rsidRPr="003C7303">
        <w:rPr>
          <w:b/>
          <w:lang w:val="en-US"/>
        </w:rPr>
        <w:t>“</w:t>
      </w:r>
      <w:r w:rsidRPr="003C7303">
        <w:rPr>
          <w:b/>
          <w:lang w:val="mk-MK"/>
        </w:rPr>
        <w:t>Антон Панов</w:t>
      </w:r>
      <w:r w:rsidRPr="003C7303">
        <w:rPr>
          <w:b/>
          <w:lang w:val="en-US"/>
        </w:rPr>
        <w:t>”</w:t>
      </w:r>
      <w:r w:rsidRPr="003C7303">
        <w:rPr>
          <w:b/>
          <w:lang w:val="mk-MK"/>
        </w:rPr>
        <w:t>- Струмица, за категориите А</w:t>
      </w:r>
      <w:r w:rsidR="003C7303" w:rsidRPr="003C7303">
        <w:rPr>
          <w:b/>
          <w:lang w:val="mk-MK"/>
        </w:rPr>
        <w:t xml:space="preserve"> – уметници, </w:t>
      </w:r>
      <w:r w:rsidR="0068459D">
        <w:rPr>
          <w:b/>
          <w:lang w:val="mk-MK"/>
        </w:rPr>
        <w:t>н</w:t>
      </w:r>
      <w:proofErr w:type="spellStart"/>
      <w:r w:rsidR="0068459D" w:rsidRPr="0068459D">
        <w:rPr>
          <w:b/>
        </w:rPr>
        <w:t>ачин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на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бодување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во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постапка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за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вработување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за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даватели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на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јавни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услуги</w:t>
      </w:r>
      <w:proofErr w:type="spellEnd"/>
      <w:r w:rsidR="0068459D" w:rsidRPr="0068459D">
        <w:rPr>
          <w:b/>
        </w:rPr>
        <w:t xml:space="preserve">, </w:t>
      </w:r>
      <w:proofErr w:type="spellStart"/>
      <w:r w:rsidR="0068459D" w:rsidRPr="0068459D">
        <w:rPr>
          <w:b/>
        </w:rPr>
        <w:t>категорија</w:t>
      </w:r>
      <w:proofErr w:type="spellEnd"/>
      <w:r w:rsidR="0068459D" w:rsidRPr="0068459D">
        <w:rPr>
          <w:b/>
        </w:rPr>
        <w:t xml:space="preserve"> Б - </w:t>
      </w:r>
      <w:proofErr w:type="spellStart"/>
      <w:r w:rsidR="0068459D" w:rsidRPr="0068459D">
        <w:rPr>
          <w:b/>
        </w:rPr>
        <w:t>уметнички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соработници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за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подготвување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на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сценски</w:t>
      </w:r>
      <w:proofErr w:type="spellEnd"/>
      <w:r w:rsidR="0068459D" w:rsidRPr="0068459D">
        <w:rPr>
          <w:b/>
        </w:rPr>
        <w:t xml:space="preserve"> и </w:t>
      </w:r>
      <w:proofErr w:type="spellStart"/>
      <w:r w:rsidR="0068459D" w:rsidRPr="0068459D">
        <w:rPr>
          <w:b/>
        </w:rPr>
        <w:t>музичко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сценски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дела</w:t>
      </w:r>
      <w:proofErr w:type="spellEnd"/>
      <w:r w:rsidR="0068459D" w:rsidRPr="0068459D">
        <w:rPr>
          <w:b/>
        </w:rPr>
        <w:t xml:space="preserve">, </w:t>
      </w:r>
      <w:proofErr w:type="spellStart"/>
      <w:r w:rsidR="0068459D" w:rsidRPr="0068459D">
        <w:rPr>
          <w:b/>
        </w:rPr>
        <w:t>категорија</w:t>
      </w:r>
      <w:proofErr w:type="spellEnd"/>
      <w:r w:rsidR="0068459D" w:rsidRPr="0068459D">
        <w:rPr>
          <w:b/>
        </w:rPr>
        <w:t xml:space="preserve"> В - </w:t>
      </w:r>
      <w:proofErr w:type="spellStart"/>
      <w:r w:rsidR="0068459D" w:rsidRPr="0068459D">
        <w:rPr>
          <w:b/>
        </w:rPr>
        <w:t>стручни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сценски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работници</w:t>
      </w:r>
      <w:proofErr w:type="spellEnd"/>
      <w:r w:rsidR="0068459D" w:rsidRPr="0068459D">
        <w:rPr>
          <w:b/>
        </w:rPr>
        <w:t xml:space="preserve"> и </w:t>
      </w:r>
      <w:proofErr w:type="spellStart"/>
      <w:r w:rsidR="0068459D" w:rsidRPr="0068459D">
        <w:rPr>
          <w:b/>
        </w:rPr>
        <w:t>категорија</w:t>
      </w:r>
      <w:proofErr w:type="spellEnd"/>
      <w:r w:rsidR="0068459D" w:rsidRPr="0068459D">
        <w:rPr>
          <w:b/>
        </w:rPr>
        <w:t xml:space="preserve"> Г - </w:t>
      </w:r>
      <w:proofErr w:type="spellStart"/>
      <w:r w:rsidR="0068459D" w:rsidRPr="0068459D">
        <w:rPr>
          <w:b/>
        </w:rPr>
        <w:t>стручни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соработници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во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дејности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од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областа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на</w:t>
      </w:r>
      <w:proofErr w:type="spellEnd"/>
      <w:r w:rsidR="0068459D" w:rsidRPr="0068459D">
        <w:rPr>
          <w:b/>
        </w:rPr>
        <w:t xml:space="preserve"> </w:t>
      </w:r>
      <w:proofErr w:type="spellStart"/>
      <w:r w:rsidR="0068459D" w:rsidRPr="0068459D">
        <w:rPr>
          <w:b/>
        </w:rPr>
        <w:t>културата</w:t>
      </w:r>
      <w:proofErr w:type="spellEnd"/>
    </w:p>
    <w:p w:rsidR="00A117B6" w:rsidRDefault="00A117B6" w:rsidP="003C7303">
      <w:pPr>
        <w:spacing w:after="0"/>
        <w:rPr>
          <w:b/>
          <w:lang w:val="mk-MK"/>
        </w:rPr>
      </w:pPr>
    </w:p>
    <w:p w:rsidR="003C7303" w:rsidRDefault="003C7303" w:rsidP="003C7303">
      <w:pPr>
        <w:spacing w:after="0"/>
        <w:rPr>
          <w:b/>
          <w:lang w:val="mk-MK"/>
        </w:rPr>
      </w:pPr>
      <w:r>
        <w:rPr>
          <w:b/>
          <w:lang w:val="en-US"/>
        </w:rPr>
        <w:t xml:space="preserve">I. </w:t>
      </w:r>
      <w:r>
        <w:rPr>
          <w:b/>
          <w:lang w:val="mk-MK"/>
        </w:rPr>
        <w:t>Начин на спроведување на аудицијата Категорија А- уметници</w:t>
      </w:r>
    </w:p>
    <w:p w:rsidR="003C7303" w:rsidRDefault="003C7303" w:rsidP="003C7303">
      <w:pPr>
        <w:spacing w:after="0"/>
        <w:rPr>
          <w:b/>
          <w:lang w:val="mk-MK"/>
        </w:rPr>
      </w:pPr>
    </w:p>
    <w:p w:rsidR="003C7303" w:rsidRDefault="003C7303" w:rsidP="003C7303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Член 1</w:t>
      </w:r>
    </w:p>
    <w:p w:rsidR="003C7303" w:rsidRDefault="003C7303" w:rsidP="003C7303">
      <w:pPr>
        <w:spacing w:after="0"/>
        <w:rPr>
          <w:lang w:val="mk-MK"/>
        </w:rPr>
      </w:pPr>
      <w:r>
        <w:rPr>
          <w:b/>
          <w:lang w:val="mk-MK"/>
        </w:rPr>
        <w:tab/>
      </w:r>
      <w:proofErr w:type="spellStart"/>
      <w:r>
        <w:t>Аудицијата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спроведува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: </w:t>
      </w:r>
    </w:p>
    <w:p w:rsidR="003C7303" w:rsidRDefault="003C7303" w:rsidP="003C7303">
      <w:pPr>
        <w:spacing w:after="0"/>
        <w:rPr>
          <w:lang w:val="mk-MK"/>
        </w:rPr>
      </w:pPr>
      <w:r>
        <w:rPr>
          <w:lang w:val="mk-MK"/>
        </w:rPr>
        <w:tab/>
        <w:t xml:space="preserve">-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73843">
        <w:rPr>
          <w:lang w:val="mk-MK"/>
        </w:rPr>
        <w:t>не</w:t>
      </w:r>
      <w:proofErr w:type="spellStart"/>
      <w:r>
        <w:t>определено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</w:p>
    <w:p w:rsidR="003C7303" w:rsidRDefault="003C7303" w:rsidP="003C7303">
      <w:pPr>
        <w:spacing w:after="0"/>
        <w:rPr>
          <w:lang w:val="mk-MK"/>
        </w:rPr>
      </w:pPr>
    </w:p>
    <w:p w:rsidR="003C7303" w:rsidRDefault="003B426A" w:rsidP="003C7303">
      <w:pPr>
        <w:spacing w:after="0"/>
        <w:rPr>
          <w:b/>
          <w:lang w:val="mk-MK"/>
        </w:rPr>
      </w:pPr>
      <w:r>
        <w:rPr>
          <w:b/>
        </w:rPr>
        <w:t>I</w:t>
      </w:r>
      <w:r w:rsidR="003C7303" w:rsidRPr="003C7303">
        <w:rPr>
          <w:b/>
        </w:rPr>
        <w:t>.1 ОРГАН ЗА СПРОВЕДУВАЊЕ НА АУДИЦИЈАТА</w:t>
      </w:r>
    </w:p>
    <w:p w:rsidR="003B426A" w:rsidRDefault="003B426A" w:rsidP="003C7303">
      <w:pPr>
        <w:spacing w:after="0"/>
        <w:rPr>
          <w:b/>
          <w:lang w:val="mk-MK"/>
        </w:rPr>
      </w:pPr>
    </w:p>
    <w:p w:rsidR="003B426A" w:rsidRPr="003B426A" w:rsidRDefault="003B426A" w:rsidP="00166D86">
      <w:pPr>
        <w:jc w:val="center"/>
        <w:rPr>
          <w:b/>
          <w:lang w:val="mk-MK"/>
        </w:rPr>
      </w:pPr>
      <w:proofErr w:type="spellStart"/>
      <w:r w:rsidRPr="003B426A">
        <w:rPr>
          <w:b/>
        </w:rPr>
        <w:t>Член</w:t>
      </w:r>
      <w:proofErr w:type="spellEnd"/>
      <w:r w:rsidRPr="003B426A">
        <w:rPr>
          <w:b/>
        </w:rPr>
        <w:t xml:space="preserve"> </w:t>
      </w:r>
      <w:r w:rsidRPr="003B426A">
        <w:rPr>
          <w:b/>
          <w:lang w:val="mk-MK"/>
        </w:rPr>
        <w:t>2</w:t>
      </w:r>
      <w:r w:rsidRPr="003B426A">
        <w:rPr>
          <w:b/>
        </w:rPr>
        <w:t xml:space="preserve"> </w:t>
      </w:r>
    </w:p>
    <w:p w:rsidR="00166D86" w:rsidRDefault="003B426A" w:rsidP="003B426A">
      <w:pPr>
        <w:rPr>
          <w:lang w:val="mk-MK"/>
        </w:rPr>
      </w:pPr>
      <w:r>
        <w:rPr>
          <w:lang w:val="mk-MK"/>
        </w:rPr>
        <w:tab/>
      </w:r>
      <w:proofErr w:type="spellStart"/>
      <w:proofErr w:type="gram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уметник</w:t>
      </w:r>
      <w:proofErr w:type="spellEnd"/>
      <w:r>
        <w:t xml:space="preserve"> е </w:t>
      </w:r>
      <w:proofErr w:type="spellStart"/>
      <w:r>
        <w:t>составена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члена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истакнати</w:t>
      </w:r>
      <w:proofErr w:type="spellEnd"/>
      <w:r>
        <w:t xml:space="preserve"> </w:t>
      </w:r>
      <w:proofErr w:type="spellStart"/>
      <w:r>
        <w:t>уметници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повисоко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>.</w:t>
      </w:r>
      <w:proofErr w:type="gramEnd"/>
    </w:p>
    <w:p w:rsidR="003B426A" w:rsidRDefault="003B426A" w:rsidP="003B426A">
      <w:pPr>
        <w:rPr>
          <w:b/>
          <w:lang w:val="mk-MK"/>
        </w:rPr>
      </w:pPr>
      <w:r w:rsidRPr="003B426A">
        <w:rPr>
          <w:b/>
        </w:rPr>
        <w:t>I.2 ВИДОВИ ПРОГРАМА ЗА АУДИЦИЈА</w:t>
      </w:r>
    </w:p>
    <w:p w:rsidR="003B426A" w:rsidRDefault="003B426A" w:rsidP="00A117B6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Член 3</w:t>
      </w:r>
    </w:p>
    <w:p w:rsidR="003B426A" w:rsidRDefault="003B426A" w:rsidP="00A117B6">
      <w:pPr>
        <w:spacing w:after="0"/>
        <w:rPr>
          <w:lang w:val="mk-MK"/>
        </w:rPr>
      </w:pPr>
      <w:proofErr w:type="spellStart"/>
      <w:r>
        <w:t>Аудицијата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состои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дела</w:t>
      </w:r>
      <w:proofErr w:type="spellEnd"/>
      <w:r>
        <w:t>:</w:t>
      </w:r>
    </w:p>
    <w:p w:rsidR="003B426A" w:rsidRDefault="003B426A" w:rsidP="00A117B6">
      <w:pPr>
        <w:spacing w:after="0"/>
        <w:rPr>
          <w:lang w:val="mk-MK"/>
        </w:rPr>
      </w:pPr>
      <w:r>
        <w:rPr>
          <w:lang w:val="mk-MK"/>
        </w:rPr>
        <w:t xml:space="preserve">- </w:t>
      </w:r>
      <w:r>
        <w:t xml:space="preserve"> </w:t>
      </w:r>
      <w:proofErr w:type="spellStart"/>
      <w:r>
        <w:t>Однапред</w:t>
      </w:r>
      <w:proofErr w:type="spellEnd"/>
      <w:r>
        <w:t xml:space="preserve"> </w:t>
      </w:r>
      <w:proofErr w:type="spellStart"/>
      <w:r>
        <w:t>подготвена</w:t>
      </w:r>
      <w:proofErr w:type="spellEnd"/>
      <w:r>
        <w:t xml:space="preserve"> </w:t>
      </w:r>
      <w:proofErr w:type="spellStart"/>
      <w:r>
        <w:t>етида</w:t>
      </w:r>
      <w:proofErr w:type="spellEnd"/>
      <w:r>
        <w:t xml:space="preserve">; </w:t>
      </w:r>
    </w:p>
    <w:p w:rsidR="003B426A" w:rsidRDefault="003B426A" w:rsidP="00A117B6">
      <w:pPr>
        <w:spacing w:after="0"/>
        <w:rPr>
          <w:lang w:val="mk-MK"/>
        </w:rPr>
      </w:pPr>
      <w:r>
        <w:t xml:space="preserve"> </w:t>
      </w:r>
      <w:r>
        <w:rPr>
          <w:lang w:val="mk-MK"/>
        </w:rPr>
        <w:t xml:space="preserve">-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монолог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; </w:t>
      </w:r>
    </w:p>
    <w:p w:rsidR="003B426A" w:rsidRDefault="003B426A" w:rsidP="00A117B6">
      <w:pPr>
        <w:spacing w:after="0"/>
        <w:rPr>
          <w:lang w:val="mk-MK"/>
        </w:rPr>
      </w:pPr>
      <w:r>
        <w:rPr>
          <w:lang w:val="mk-MK"/>
        </w:rPr>
        <w:t xml:space="preserve">- </w:t>
      </w:r>
      <w:proofErr w:type="spellStart"/>
      <w:r>
        <w:t>Зададен</w:t>
      </w:r>
      <w:proofErr w:type="spellEnd"/>
      <w:r>
        <w:t xml:space="preserve"> </w:t>
      </w:r>
      <w:proofErr w:type="spellStart"/>
      <w:r>
        <w:t>материјал-драмска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</w:p>
    <w:p w:rsidR="003B426A" w:rsidRDefault="003B426A" w:rsidP="00A117B6">
      <w:pPr>
        <w:spacing w:after="0"/>
        <w:rPr>
          <w:lang w:val="mk-MK"/>
        </w:rPr>
      </w:pPr>
    </w:p>
    <w:p w:rsidR="003B426A" w:rsidRDefault="003B426A" w:rsidP="00A117B6">
      <w:pPr>
        <w:spacing w:after="0"/>
        <w:jc w:val="center"/>
        <w:rPr>
          <w:b/>
          <w:lang w:val="mk-MK"/>
        </w:rPr>
      </w:pPr>
    </w:p>
    <w:p w:rsidR="003B426A" w:rsidRDefault="003B426A" w:rsidP="003B426A">
      <w:pPr>
        <w:spacing w:after="0"/>
        <w:jc w:val="center"/>
        <w:rPr>
          <w:b/>
          <w:lang w:val="mk-MK"/>
        </w:rPr>
      </w:pPr>
    </w:p>
    <w:p w:rsidR="003B426A" w:rsidRDefault="003B426A" w:rsidP="003B426A">
      <w:pPr>
        <w:spacing w:after="0"/>
        <w:jc w:val="center"/>
        <w:rPr>
          <w:b/>
          <w:lang w:val="mk-MK"/>
        </w:rPr>
      </w:pPr>
      <w:r w:rsidRPr="003B426A">
        <w:rPr>
          <w:b/>
          <w:lang w:val="mk-MK"/>
        </w:rPr>
        <w:t>Член 4</w:t>
      </w:r>
    </w:p>
    <w:p w:rsidR="003B426A" w:rsidRDefault="003B426A" w:rsidP="003B426A">
      <w:pPr>
        <w:spacing w:after="0"/>
        <w:rPr>
          <w:lang w:val="mk-MK"/>
        </w:rPr>
      </w:pPr>
      <w:r>
        <w:t xml:space="preserve">(1) </w:t>
      </w:r>
      <w:proofErr w:type="spellStart"/>
      <w:r>
        <w:t>Аудицијата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спроведува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утврдена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</w:p>
    <w:p w:rsidR="003B426A" w:rsidRDefault="003B426A" w:rsidP="003B426A">
      <w:pPr>
        <w:spacing w:after="0"/>
        <w:rPr>
          <w:lang w:val="mk-MK"/>
        </w:rPr>
      </w:pPr>
      <w:r>
        <w:t xml:space="preserve">(2)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покаже</w:t>
      </w:r>
      <w:proofErr w:type="spellEnd"/>
      <w:r>
        <w:t xml:space="preserve"> </w:t>
      </w:r>
      <w:proofErr w:type="spellStart"/>
      <w:r>
        <w:t>говорна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, </w:t>
      </w:r>
      <w:proofErr w:type="spellStart"/>
      <w:r>
        <w:t>движење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,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ликовите</w:t>
      </w:r>
      <w:proofErr w:type="spellEnd"/>
      <w:r>
        <w:t xml:space="preserve"> и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>.</w:t>
      </w:r>
    </w:p>
    <w:p w:rsidR="003B426A" w:rsidRDefault="003B426A" w:rsidP="003B426A">
      <w:pPr>
        <w:spacing w:after="0"/>
        <w:rPr>
          <w:lang w:val="mk-MK"/>
        </w:rPr>
      </w:pPr>
      <w:r>
        <w:t xml:space="preserve"> (3) </w:t>
      </w:r>
      <w:proofErr w:type="spellStart"/>
      <w:r>
        <w:t>Целата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аудиција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кажува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научен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(</w:t>
      </w:r>
      <w:proofErr w:type="spellStart"/>
      <w:r>
        <w:t>напамет</w:t>
      </w:r>
      <w:proofErr w:type="spellEnd"/>
      <w:r>
        <w:t>).</w:t>
      </w:r>
    </w:p>
    <w:p w:rsidR="00877172" w:rsidRDefault="00877172" w:rsidP="003B426A">
      <w:pPr>
        <w:spacing w:after="0"/>
        <w:rPr>
          <w:lang w:val="mk-MK"/>
        </w:rPr>
      </w:pPr>
    </w:p>
    <w:p w:rsidR="00877172" w:rsidRDefault="00877172" w:rsidP="003B426A">
      <w:pPr>
        <w:spacing w:after="0"/>
        <w:rPr>
          <w:lang w:val="mk-MK"/>
        </w:rPr>
      </w:pPr>
      <w:r w:rsidRPr="00877172">
        <w:rPr>
          <w:b/>
        </w:rPr>
        <w:t>I.3 ПОСТАПКА ЗА СПРОВЕДУВАЊЕ НА АУДИЦИЈА</w:t>
      </w:r>
      <w:r>
        <w:t xml:space="preserve"> </w:t>
      </w:r>
    </w:p>
    <w:p w:rsidR="00371026" w:rsidRDefault="00371026" w:rsidP="00877172">
      <w:pPr>
        <w:spacing w:after="0"/>
        <w:jc w:val="center"/>
        <w:rPr>
          <w:b/>
          <w:lang w:val="mk-MK"/>
        </w:rPr>
      </w:pPr>
    </w:p>
    <w:p w:rsidR="00371026" w:rsidRPr="00877172" w:rsidRDefault="00877172" w:rsidP="00877172">
      <w:pPr>
        <w:spacing w:after="0"/>
        <w:jc w:val="center"/>
        <w:rPr>
          <w:b/>
          <w:lang w:val="mk-MK"/>
        </w:rPr>
      </w:pPr>
      <w:proofErr w:type="spellStart"/>
      <w:r w:rsidRPr="00877172">
        <w:rPr>
          <w:b/>
        </w:rPr>
        <w:t>Член</w:t>
      </w:r>
      <w:proofErr w:type="spellEnd"/>
      <w:r w:rsidRPr="00877172">
        <w:rPr>
          <w:b/>
        </w:rPr>
        <w:t xml:space="preserve"> </w:t>
      </w:r>
      <w:r w:rsidRPr="00877172">
        <w:rPr>
          <w:b/>
          <w:lang w:val="mk-MK"/>
        </w:rPr>
        <w:t>5</w:t>
      </w:r>
    </w:p>
    <w:p w:rsidR="00371026" w:rsidRDefault="00877172" w:rsidP="003B426A">
      <w:pPr>
        <w:spacing w:after="0"/>
        <w:rPr>
          <w:lang w:val="mk-MK"/>
        </w:rPr>
      </w:pPr>
      <w:r>
        <w:t xml:space="preserve">(1) </w:t>
      </w:r>
      <w:proofErr w:type="spellStart"/>
      <w:r>
        <w:t>Директорот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. </w:t>
      </w:r>
    </w:p>
    <w:p w:rsidR="00371026" w:rsidRDefault="00877172" w:rsidP="003B426A">
      <w:pPr>
        <w:spacing w:after="0"/>
        <w:rPr>
          <w:lang w:val="mk-MK"/>
        </w:rPr>
      </w:pPr>
      <w:r>
        <w:t xml:space="preserve">(2)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селекција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состои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веродостојноста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дадените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и </w:t>
      </w:r>
      <w:proofErr w:type="spellStart"/>
      <w:r>
        <w:t>доказите</w:t>
      </w:r>
      <w:proofErr w:type="spellEnd"/>
      <w:r>
        <w:t xml:space="preserve"> </w:t>
      </w:r>
      <w:proofErr w:type="spellStart"/>
      <w:r>
        <w:t>доставени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продолжат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аудиција</w:t>
      </w:r>
      <w:proofErr w:type="spellEnd"/>
      <w:r>
        <w:t xml:space="preserve">. </w:t>
      </w:r>
    </w:p>
    <w:p w:rsidR="00877172" w:rsidRDefault="00877172" w:rsidP="003B426A">
      <w:pPr>
        <w:spacing w:after="0"/>
        <w:rPr>
          <w:lang w:val="mk-MK"/>
        </w:rPr>
      </w:pPr>
      <w:r>
        <w:t xml:space="preserve">(3)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поминале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веродостојност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продолжат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аудиција</w:t>
      </w:r>
      <w:proofErr w:type="spellEnd"/>
      <w:r>
        <w:t>.</w:t>
      </w:r>
    </w:p>
    <w:p w:rsidR="00371026" w:rsidRDefault="00371026" w:rsidP="003B426A">
      <w:pPr>
        <w:spacing w:after="0"/>
        <w:rPr>
          <w:lang w:val="mk-MK"/>
        </w:rPr>
      </w:pPr>
    </w:p>
    <w:p w:rsidR="00371026" w:rsidRPr="00371026" w:rsidRDefault="00371026" w:rsidP="00371026">
      <w:pPr>
        <w:spacing w:after="0"/>
        <w:jc w:val="center"/>
        <w:rPr>
          <w:b/>
          <w:lang w:val="mk-MK"/>
        </w:rPr>
      </w:pPr>
      <w:proofErr w:type="spellStart"/>
      <w:r w:rsidRPr="00371026">
        <w:rPr>
          <w:b/>
        </w:rPr>
        <w:t>Член</w:t>
      </w:r>
      <w:proofErr w:type="spellEnd"/>
      <w:r w:rsidRPr="00371026">
        <w:rPr>
          <w:b/>
        </w:rPr>
        <w:t xml:space="preserve"> </w:t>
      </w:r>
      <w:r w:rsidRPr="00371026">
        <w:rPr>
          <w:b/>
          <w:lang w:val="mk-MK"/>
        </w:rPr>
        <w:t>6</w:t>
      </w:r>
    </w:p>
    <w:p w:rsidR="00371026" w:rsidRDefault="00371026" w:rsidP="003B426A">
      <w:pPr>
        <w:spacing w:after="0"/>
        <w:rPr>
          <w:lang w:val="mk-MK"/>
        </w:rPr>
      </w:pPr>
      <w:r>
        <w:t xml:space="preserve"> (1)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, </w:t>
      </w:r>
      <w:proofErr w:type="spellStart"/>
      <w:r>
        <w:t>определува</w:t>
      </w:r>
      <w:proofErr w:type="spellEnd"/>
      <w:r>
        <w:t xml:space="preserve"> </w:t>
      </w:r>
      <w:proofErr w:type="spellStart"/>
      <w:r>
        <w:t>метеријал</w:t>
      </w:r>
      <w:proofErr w:type="spellEnd"/>
      <w:r>
        <w:t xml:space="preserve"> (</w:t>
      </w:r>
      <w:proofErr w:type="spellStart"/>
      <w:r>
        <w:t>монолог</w:t>
      </w:r>
      <w:proofErr w:type="spellEnd"/>
      <w:r>
        <w:t xml:space="preserve">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и </w:t>
      </w:r>
      <w:proofErr w:type="spellStart"/>
      <w:r>
        <w:t>утврдува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>,</w:t>
      </w:r>
    </w:p>
    <w:p w:rsidR="00371026" w:rsidRDefault="00371026" w:rsidP="003B426A">
      <w:pPr>
        <w:spacing w:after="0"/>
        <w:rPr>
          <w:lang w:val="mk-MK"/>
        </w:rPr>
      </w:pPr>
      <w:r>
        <w:t xml:space="preserve"> (2)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проверуваат</w:t>
      </w:r>
      <w:proofErr w:type="spellEnd"/>
      <w:r>
        <w:t xml:space="preserve"> </w:t>
      </w:r>
      <w:proofErr w:type="spellStart"/>
      <w:r>
        <w:t>уметничките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>.</w:t>
      </w:r>
    </w:p>
    <w:p w:rsidR="00D06B8D" w:rsidRDefault="00D06B8D" w:rsidP="003B426A">
      <w:pPr>
        <w:spacing w:after="0"/>
        <w:rPr>
          <w:lang w:val="mk-MK"/>
        </w:rPr>
      </w:pPr>
    </w:p>
    <w:p w:rsidR="00D06B8D" w:rsidRPr="00D06B8D" w:rsidRDefault="00D06B8D" w:rsidP="00D06B8D">
      <w:pPr>
        <w:spacing w:after="0"/>
        <w:jc w:val="center"/>
        <w:rPr>
          <w:b/>
          <w:lang w:val="mk-MK"/>
        </w:rPr>
      </w:pPr>
      <w:proofErr w:type="spellStart"/>
      <w:r w:rsidRPr="00D06B8D">
        <w:rPr>
          <w:b/>
        </w:rPr>
        <w:t>Член</w:t>
      </w:r>
      <w:proofErr w:type="spellEnd"/>
      <w:r w:rsidRPr="00D06B8D">
        <w:rPr>
          <w:b/>
        </w:rPr>
        <w:t xml:space="preserve"> </w:t>
      </w:r>
      <w:r w:rsidRPr="00D06B8D">
        <w:rPr>
          <w:b/>
          <w:lang w:val="mk-MK"/>
        </w:rPr>
        <w:t>7</w:t>
      </w:r>
    </w:p>
    <w:p w:rsidR="00D06B8D" w:rsidRDefault="00D06B8D" w:rsidP="003B426A">
      <w:pPr>
        <w:spacing w:after="0"/>
        <w:rPr>
          <w:lang w:val="mk-MK"/>
        </w:rPr>
      </w:pPr>
      <w:proofErr w:type="spellStart"/>
      <w:r>
        <w:t>Доколку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писменото</w:t>
      </w:r>
      <w:proofErr w:type="spellEnd"/>
      <w:r>
        <w:t xml:space="preserve"> </w:t>
      </w:r>
      <w:proofErr w:type="spellStart"/>
      <w:r>
        <w:t>известување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аудиција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направениот</w:t>
      </w:r>
      <w:proofErr w:type="spellEnd"/>
      <w:r>
        <w:t xml:space="preserve"> </w:t>
      </w:r>
      <w:proofErr w:type="spellStart"/>
      <w:r>
        <w:t>обид</w:t>
      </w:r>
      <w:proofErr w:type="spellEnd"/>
      <w:r>
        <w:t xml:space="preserve"> </w:t>
      </w:r>
      <w:proofErr w:type="spellStart"/>
      <w:r>
        <w:t>Претседателот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огласна</w:t>
      </w:r>
      <w:proofErr w:type="spellEnd"/>
      <w:r>
        <w:t xml:space="preserve"> </w:t>
      </w:r>
      <w:proofErr w:type="spellStart"/>
      <w:r>
        <w:t>табла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терминот</w:t>
      </w:r>
      <w:proofErr w:type="spellEnd"/>
      <w:r>
        <w:t xml:space="preserve">, </w:t>
      </w:r>
      <w:proofErr w:type="spellStart"/>
      <w:r>
        <w:t>местото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подигање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потребниот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известување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>.</w:t>
      </w:r>
    </w:p>
    <w:p w:rsidR="00D06B8D" w:rsidRDefault="00D06B8D" w:rsidP="003B426A">
      <w:pPr>
        <w:spacing w:after="0"/>
        <w:rPr>
          <w:lang w:val="mk-MK"/>
        </w:rPr>
      </w:pPr>
    </w:p>
    <w:p w:rsidR="00D06B8D" w:rsidRPr="00D06B8D" w:rsidRDefault="00D06B8D" w:rsidP="00D06B8D">
      <w:pPr>
        <w:spacing w:after="0"/>
        <w:jc w:val="center"/>
        <w:rPr>
          <w:b/>
          <w:lang w:val="mk-MK"/>
        </w:rPr>
      </w:pPr>
      <w:proofErr w:type="spellStart"/>
      <w:r w:rsidRPr="00D06B8D">
        <w:rPr>
          <w:b/>
        </w:rPr>
        <w:t>Член</w:t>
      </w:r>
      <w:proofErr w:type="spellEnd"/>
      <w:r w:rsidRPr="00D06B8D">
        <w:rPr>
          <w:b/>
        </w:rPr>
        <w:t xml:space="preserve"> </w:t>
      </w:r>
      <w:r w:rsidRPr="00D06B8D">
        <w:rPr>
          <w:b/>
          <w:lang w:val="mk-MK"/>
        </w:rPr>
        <w:t>8</w:t>
      </w:r>
    </w:p>
    <w:p w:rsidR="00D06B8D" w:rsidRDefault="00D06B8D" w:rsidP="003B426A">
      <w:pPr>
        <w:spacing w:after="0"/>
        <w:rPr>
          <w:lang w:val="mk-MK"/>
        </w:rPr>
      </w:pPr>
      <w:proofErr w:type="spellStart"/>
      <w:proofErr w:type="gramStart"/>
      <w:r>
        <w:t>Комисијата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спроведува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полн</w:t>
      </w:r>
      <w:proofErr w:type="spellEnd"/>
      <w:r>
        <w:t xml:space="preserve">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члена</w:t>
      </w:r>
      <w:proofErr w:type="spellEnd"/>
      <w:r>
        <w:t>.</w:t>
      </w:r>
      <w:proofErr w:type="gramEnd"/>
    </w:p>
    <w:p w:rsidR="00D06B8D" w:rsidRDefault="00D06B8D" w:rsidP="003B426A">
      <w:pPr>
        <w:spacing w:after="0"/>
        <w:rPr>
          <w:lang w:val="mk-MK"/>
        </w:rPr>
      </w:pPr>
    </w:p>
    <w:p w:rsidR="00D06B8D" w:rsidRPr="00D06B8D" w:rsidRDefault="00D06B8D" w:rsidP="00D06B8D">
      <w:pPr>
        <w:spacing w:after="0"/>
        <w:jc w:val="center"/>
        <w:rPr>
          <w:b/>
          <w:lang w:val="mk-MK"/>
        </w:rPr>
      </w:pPr>
      <w:proofErr w:type="spellStart"/>
      <w:r w:rsidRPr="00D06B8D">
        <w:rPr>
          <w:b/>
        </w:rPr>
        <w:t>Член</w:t>
      </w:r>
      <w:proofErr w:type="spellEnd"/>
      <w:r w:rsidRPr="00D06B8D">
        <w:rPr>
          <w:b/>
        </w:rPr>
        <w:t xml:space="preserve"> </w:t>
      </w:r>
      <w:r w:rsidRPr="00D06B8D">
        <w:rPr>
          <w:b/>
          <w:lang w:val="mk-MK"/>
        </w:rPr>
        <w:t>9</w:t>
      </w:r>
    </w:p>
    <w:p w:rsidR="00D06B8D" w:rsidRDefault="00D06B8D" w:rsidP="003B426A">
      <w:pPr>
        <w:spacing w:after="0"/>
        <w:rPr>
          <w:lang w:val="mk-MK"/>
        </w:rPr>
      </w:pPr>
      <w:r>
        <w:t xml:space="preserve"> </w:t>
      </w:r>
      <w:r>
        <w:rPr>
          <w:lang w:val="mk-MK"/>
        </w:rPr>
        <w:t xml:space="preserve">(1)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утврдување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кворумот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полноважно</w:t>
      </w:r>
      <w:proofErr w:type="spellEnd"/>
      <w:r>
        <w:t xml:space="preserve"> </w:t>
      </w:r>
      <w:proofErr w:type="spellStart"/>
      <w:r>
        <w:t>спроведување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утврдува</w:t>
      </w:r>
      <w:proofErr w:type="spellEnd"/>
      <w:r>
        <w:t xml:space="preserve"> </w:t>
      </w:r>
      <w:proofErr w:type="spellStart"/>
      <w:r>
        <w:t>присутноста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пријавените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пристапува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. </w:t>
      </w:r>
    </w:p>
    <w:p w:rsidR="00D06B8D" w:rsidRDefault="00D06B8D" w:rsidP="003B426A">
      <w:pPr>
        <w:spacing w:after="0"/>
        <w:rPr>
          <w:lang w:val="mk-MK"/>
        </w:rPr>
      </w:pPr>
      <w:r>
        <w:t xml:space="preserve">(2) </w:t>
      </w:r>
      <w:proofErr w:type="spellStart"/>
      <w:r>
        <w:t>Настапот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е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</w:t>
      </w:r>
      <w:proofErr w:type="spellStart"/>
      <w:r>
        <w:t>траење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максимим</w:t>
      </w:r>
      <w:proofErr w:type="spellEnd"/>
      <w:r>
        <w:t xml:space="preserve"> 15 </w:t>
      </w:r>
      <w:proofErr w:type="spellStart"/>
      <w:r>
        <w:t>минути</w:t>
      </w:r>
      <w:proofErr w:type="spellEnd"/>
    </w:p>
    <w:p w:rsidR="00E24AC6" w:rsidRDefault="00E24AC6" w:rsidP="003B426A">
      <w:pPr>
        <w:spacing w:after="0"/>
        <w:rPr>
          <w:lang w:val="mk-MK"/>
        </w:rPr>
      </w:pPr>
    </w:p>
    <w:p w:rsidR="00E24AC6" w:rsidRDefault="00E24AC6" w:rsidP="003B426A">
      <w:pPr>
        <w:spacing w:after="0"/>
        <w:rPr>
          <w:lang w:val="mk-MK"/>
        </w:rPr>
      </w:pPr>
    </w:p>
    <w:p w:rsidR="00E24AC6" w:rsidRPr="00E24AC6" w:rsidRDefault="00E24AC6" w:rsidP="00E24AC6">
      <w:pPr>
        <w:spacing w:after="0"/>
        <w:jc w:val="center"/>
        <w:rPr>
          <w:b/>
          <w:lang w:val="mk-MK"/>
        </w:rPr>
      </w:pPr>
      <w:proofErr w:type="spellStart"/>
      <w:r w:rsidRPr="00E24AC6">
        <w:rPr>
          <w:b/>
        </w:rPr>
        <w:t>Член</w:t>
      </w:r>
      <w:proofErr w:type="spellEnd"/>
      <w:r w:rsidRPr="00E24AC6">
        <w:rPr>
          <w:b/>
        </w:rPr>
        <w:t xml:space="preserve"> 1</w:t>
      </w:r>
      <w:r w:rsidRPr="00E24AC6">
        <w:rPr>
          <w:b/>
          <w:lang w:val="mk-MK"/>
        </w:rPr>
        <w:t>0</w:t>
      </w:r>
    </w:p>
    <w:p w:rsidR="00E24AC6" w:rsidRDefault="00E24AC6" w:rsidP="003B426A">
      <w:pPr>
        <w:spacing w:after="0"/>
        <w:rPr>
          <w:lang w:val="mk-MK"/>
        </w:rPr>
      </w:pPr>
      <w:r>
        <w:t xml:space="preserve">(1)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содржи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е </w:t>
      </w:r>
      <w:proofErr w:type="spellStart"/>
      <w:r>
        <w:t>спроведена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 и </w:t>
      </w:r>
      <w:proofErr w:type="spellStart"/>
      <w:r>
        <w:t>освоени</w:t>
      </w:r>
      <w:proofErr w:type="spellEnd"/>
      <w:r>
        <w:t xml:space="preserve"> </w:t>
      </w:r>
      <w:proofErr w:type="spellStart"/>
      <w:r>
        <w:t>бодови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истата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доставува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Архивата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Центарот</w:t>
      </w:r>
      <w:proofErr w:type="spellEnd"/>
      <w:r>
        <w:t xml:space="preserve">. </w:t>
      </w:r>
    </w:p>
    <w:p w:rsidR="00E24AC6" w:rsidRDefault="00E24AC6" w:rsidP="003B426A">
      <w:pPr>
        <w:spacing w:after="0"/>
        <w:rPr>
          <w:lang w:val="mk-MK"/>
        </w:rPr>
      </w:pPr>
      <w:r>
        <w:t xml:space="preserve">(2)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кандидти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исполнуваат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доволен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спрема</w:t>
      </w:r>
      <w:proofErr w:type="spellEnd"/>
      <w:r>
        <w:t xml:space="preserve"> </w:t>
      </w:r>
      <w:proofErr w:type="spellStart"/>
      <w:r>
        <w:t>објавениот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оценети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доволно</w:t>
      </w:r>
      <w:proofErr w:type="spellEnd"/>
      <w:r>
        <w:t xml:space="preserve"> </w:t>
      </w:r>
      <w:proofErr w:type="spellStart"/>
      <w:r>
        <w:t>бодови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преостанатиот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>.</w:t>
      </w:r>
    </w:p>
    <w:p w:rsidR="00E24AC6" w:rsidRDefault="00E24AC6" w:rsidP="003B426A">
      <w:pPr>
        <w:spacing w:after="0"/>
        <w:rPr>
          <w:lang w:val="mk-MK"/>
        </w:rPr>
      </w:pPr>
      <w:r>
        <w:t xml:space="preserve"> (3)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пријавување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и </w:t>
      </w:r>
      <w:proofErr w:type="spellStart"/>
      <w:r>
        <w:t>одбиените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>.</w:t>
      </w:r>
    </w:p>
    <w:p w:rsidR="00100897" w:rsidRDefault="00100897" w:rsidP="003B426A">
      <w:pPr>
        <w:spacing w:after="0"/>
        <w:rPr>
          <w:lang w:val="mk-MK"/>
        </w:rPr>
      </w:pPr>
    </w:p>
    <w:p w:rsidR="00100897" w:rsidRPr="00100897" w:rsidRDefault="00100897" w:rsidP="00100897">
      <w:pPr>
        <w:spacing w:after="0"/>
        <w:jc w:val="center"/>
        <w:rPr>
          <w:b/>
          <w:lang w:val="mk-MK"/>
        </w:rPr>
      </w:pPr>
      <w:proofErr w:type="spellStart"/>
      <w:r w:rsidRPr="00100897">
        <w:rPr>
          <w:b/>
        </w:rPr>
        <w:t>Член</w:t>
      </w:r>
      <w:proofErr w:type="spellEnd"/>
      <w:r w:rsidRPr="00100897">
        <w:rPr>
          <w:b/>
        </w:rPr>
        <w:t xml:space="preserve"> 1</w:t>
      </w:r>
      <w:r w:rsidRPr="00100897">
        <w:rPr>
          <w:b/>
          <w:lang w:val="mk-MK"/>
        </w:rPr>
        <w:t>1</w:t>
      </w:r>
    </w:p>
    <w:p w:rsidR="00100897" w:rsidRDefault="00100897" w:rsidP="003B426A">
      <w:pPr>
        <w:spacing w:after="0"/>
        <w:rPr>
          <w:lang w:val="mk-MK"/>
        </w:rPr>
      </w:pP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завршувањето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повлекува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заеднички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индивидуален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и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мислење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подготвува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директорот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</w:t>
      </w:r>
      <w:proofErr w:type="spellStart"/>
      <w:r>
        <w:t>доставува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>.</w:t>
      </w:r>
      <w:proofErr w:type="gramEnd"/>
    </w:p>
    <w:p w:rsidR="00753ACA" w:rsidRDefault="00753ACA" w:rsidP="003B426A">
      <w:pPr>
        <w:spacing w:after="0"/>
        <w:rPr>
          <w:lang w:val="mk-MK"/>
        </w:rPr>
      </w:pPr>
    </w:p>
    <w:p w:rsidR="00753ACA" w:rsidRPr="00753ACA" w:rsidRDefault="00753ACA" w:rsidP="00753ACA">
      <w:pPr>
        <w:spacing w:after="0"/>
        <w:jc w:val="center"/>
        <w:rPr>
          <w:b/>
          <w:lang w:val="mk-MK"/>
        </w:rPr>
      </w:pPr>
      <w:proofErr w:type="spellStart"/>
      <w:r w:rsidRPr="00753ACA">
        <w:rPr>
          <w:b/>
        </w:rPr>
        <w:t>Член</w:t>
      </w:r>
      <w:proofErr w:type="spellEnd"/>
      <w:r w:rsidRPr="00753ACA">
        <w:rPr>
          <w:b/>
        </w:rPr>
        <w:t xml:space="preserve"> 1</w:t>
      </w:r>
      <w:r w:rsidRPr="00753ACA">
        <w:rPr>
          <w:b/>
          <w:lang w:val="mk-MK"/>
        </w:rPr>
        <w:t>2</w:t>
      </w:r>
    </w:p>
    <w:p w:rsidR="00753ACA" w:rsidRDefault="00753ACA" w:rsidP="003B426A">
      <w:pPr>
        <w:spacing w:after="0"/>
        <w:rPr>
          <w:lang w:val="mk-MK"/>
        </w:rPr>
      </w:pPr>
      <w:r>
        <w:t xml:space="preserve">(1) </w:t>
      </w:r>
      <w:proofErr w:type="spellStart"/>
      <w:r>
        <w:t>Директорот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добивањето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предлогот</w:t>
      </w:r>
      <w:proofErr w:type="spellEnd"/>
      <w:r>
        <w:t xml:space="preserve"> е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. </w:t>
      </w:r>
    </w:p>
    <w:p w:rsidR="00753ACA" w:rsidRDefault="00753ACA" w:rsidP="003B426A">
      <w:pPr>
        <w:spacing w:after="0"/>
        <w:rPr>
          <w:lang w:val="mk-MK"/>
        </w:rPr>
      </w:pPr>
      <w:r>
        <w:t xml:space="preserve">(2)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доставува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огласна</w:t>
      </w:r>
      <w:proofErr w:type="spellEnd"/>
      <w:r>
        <w:t xml:space="preserve"> </w:t>
      </w:r>
      <w:proofErr w:type="spellStart"/>
      <w:r>
        <w:t>табла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. </w:t>
      </w:r>
    </w:p>
    <w:p w:rsidR="00753ACA" w:rsidRDefault="00753ACA" w:rsidP="003B426A">
      <w:pPr>
        <w:spacing w:after="0"/>
        <w:rPr>
          <w:lang w:val="mk-MK"/>
        </w:rPr>
      </w:pPr>
      <w:r>
        <w:t xml:space="preserve">(3)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незадоволниот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(</w:t>
      </w:r>
      <w:proofErr w:type="spellStart"/>
      <w:r>
        <w:t>осум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. </w:t>
      </w:r>
    </w:p>
    <w:p w:rsidR="00753ACA" w:rsidRDefault="00753ACA" w:rsidP="003B426A">
      <w:pPr>
        <w:spacing w:after="0"/>
        <w:rPr>
          <w:lang w:val="mk-MK"/>
        </w:rPr>
      </w:pPr>
      <w:r>
        <w:t xml:space="preserve">(4)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(</w:t>
      </w:r>
      <w:proofErr w:type="spellStart"/>
      <w:r>
        <w:t>пет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конечноста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директорот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,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избраниот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склучува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>.</w:t>
      </w:r>
    </w:p>
    <w:p w:rsidR="00753ACA" w:rsidRDefault="00753ACA" w:rsidP="003B426A">
      <w:pPr>
        <w:spacing w:after="0"/>
        <w:rPr>
          <w:lang w:val="mk-MK"/>
        </w:rPr>
      </w:pPr>
    </w:p>
    <w:p w:rsidR="00753ACA" w:rsidRDefault="00753ACA" w:rsidP="003B426A">
      <w:pPr>
        <w:spacing w:after="0"/>
        <w:rPr>
          <w:b/>
          <w:lang w:val="mk-MK"/>
        </w:rPr>
      </w:pPr>
      <w:r w:rsidRPr="00753ACA">
        <w:rPr>
          <w:b/>
          <w:lang w:val="en-US"/>
        </w:rPr>
        <w:t>II</w:t>
      </w:r>
      <w:r w:rsidRPr="00753ACA">
        <w:rPr>
          <w:b/>
        </w:rPr>
        <w:t>. НАЧИНОТ НА БОДУВАЊЕ ВО ЗВИСНОСТ ОД КАТЕГОРИЈАТА И НИВОТО НА РАБОТНО МЕСТО ЗА КОЕ Е ОБЈАВЕН ЈАВНИОТ ОГЛАС</w:t>
      </w:r>
    </w:p>
    <w:p w:rsidR="001C5503" w:rsidRPr="001C5503" w:rsidRDefault="001C5503" w:rsidP="003B426A">
      <w:pPr>
        <w:spacing w:after="0"/>
        <w:rPr>
          <w:b/>
          <w:lang w:val="mk-MK"/>
        </w:rPr>
      </w:pPr>
    </w:p>
    <w:p w:rsidR="00A73843" w:rsidRDefault="00A73843" w:rsidP="001C5503">
      <w:pPr>
        <w:spacing w:after="0"/>
        <w:jc w:val="center"/>
        <w:rPr>
          <w:lang w:val="mk-MK"/>
        </w:rPr>
      </w:pPr>
    </w:p>
    <w:p w:rsidR="001C5503" w:rsidRDefault="001C5503" w:rsidP="001C5503">
      <w:pPr>
        <w:spacing w:after="0"/>
        <w:jc w:val="center"/>
        <w:rPr>
          <w:lang w:val="mk-MK"/>
        </w:rPr>
      </w:pPr>
      <w:proofErr w:type="spellStart"/>
      <w:r w:rsidRPr="001C5503">
        <w:t>Начин</w:t>
      </w:r>
      <w:proofErr w:type="spellEnd"/>
      <w:r w:rsidRPr="001C5503">
        <w:t xml:space="preserve"> </w:t>
      </w:r>
      <w:proofErr w:type="spellStart"/>
      <w:r w:rsidRPr="001C5503">
        <w:t>на</w:t>
      </w:r>
      <w:proofErr w:type="spellEnd"/>
      <w:r w:rsidRPr="001C5503">
        <w:t xml:space="preserve"> </w:t>
      </w:r>
      <w:proofErr w:type="spellStart"/>
      <w:r w:rsidRPr="001C5503">
        <w:t>бодување</w:t>
      </w:r>
      <w:proofErr w:type="spellEnd"/>
      <w:r w:rsidRPr="001C5503">
        <w:t xml:space="preserve"> </w:t>
      </w:r>
      <w:proofErr w:type="spellStart"/>
      <w:r w:rsidRPr="001C5503">
        <w:t>во</w:t>
      </w:r>
      <w:proofErr w:type="spellEnd"/>
      <w:r w:rsidRPr="001C5503">
        <w:t xml:space="preserve"> </w:t>
      </w:r>
      <w:proofErr w:type="spellStart"/>
      <w:r w:rsidRPr="001C5503">
        <w:t>постапка</w:t>
      </w:r>
      <w:proofErr w:type="spellEnd"/>
      <w:r w:rsidRPr="001C5503">
        <w:t xml:space="preserve"> </w:t>
      </w:r>
      <w:proofErr w:type="spellStart"/>
      <w:r w:rsidRPr="001C5503">
        <w:t>за</w:t>
      </w:r>
      <w:proofErr w:type="spellEnd"/>
      <w:r w:rsidRPr="001C5503">
        <w:t xml:space="preserve"> </w:t>
      </w:r>
      <w:proofErr w:type="spellStart"/>
      <w:r w:rsidRPr="001C5503">
        <w:t>вработување</w:t>
      </w:r>
      <w:proofErr w:type="spellEnd"/>
      <w:r w:rsidRPr="001C5503">
        <w:t xml:space="preserve"> </w:t>
      </w:r>
      <w:proofErr w:type="spellStart"/>
      <w:r w:rsidRPr="001C5503">
        <w:t>за</w:t>
      </w:r>
      <w:proofErr w:type="spellEnd"/>
      <w:r w:rsidRPr="001C5503">
        <w:t xml:space="preserve"> </w:t>
      </w:r>
      <w:proofErr w:type="spellStart"/>
      <w:r w:rsidRPr="001C5503">
        <w:t>даватели</w:t>
      </w:r>
      <w:proofErr w:type="spellEnd"/>
      <w:r w:rsidRPr="001C5503">
        <w:t xml:space="preserve"> </w:t>
      </w:r>
      <w:proofErr w:type="spellStart"/>
      <w:r w:rsidRPr="001C5503">
        <w:t>на</w:t>
      </w:r>
      <w:proofErr w:type="spellEnd"/>
      <w:r w:rsidRPr="001C5503">
        <w:t xml:space="preserve"> </w:t>
      </w:r>
      <w:proofErr w:type="spellStart"/>
      <w:r w:rsidRPr="001C5503">
        <w:t>јавни</w:t>
      </w:r>
      <w:proofErr w:type="spellEnd"/>
      <w:r w:rsidRPr="001C5503">
        <w:t xml:space="preserve"> </w:t>
      </w:r>
      <w:proofErr w:type="spellStart"/>
      <w:r w:rsidRPr="001C5503">
        <w:t>услуги</w:t>
      </w:r>
      <w:proofErr w:type="spellEnd"/>
      <w:r w:rsidRPr="001C5503">
        <w:t xml:space="preserve"> </w:t>
      </w:r>
      <w:proofErr w:type="spellStart"/>
      <w:r w:rsidRPr="001C5503">
        <w:t>категорија</w:t>
      </w:r>
      <w:proofErr w:type="spellEnd"/>
      <w:r w:rsidRPr="001C5503">
        <w:t xml:space="preserve"> А – </w:t>
      </w:r>
      <w:proofErr w:type="spellStart"/>
      <w:r w:rsidRPr="001C5503">
        <w:t>уметници</w:t>
      </w:r>
      <w:proofErr w:type="spellEnd"/>
    </w:p>
    <w:p w:rsidR="001C5503" w:rsidRDefault="001C5503" w:rsidP="001C5503">
      <w:pPr>
        <w:spacing w:after="0"/>
        <w:jc w:val="center"/>
        <w:rPr>
          <w:lang w:val="mk-MK"/>
        </w:rPr>
      </w:pPr>
    </w:p>
    <w:p w:rsidR="00A73843" w:rsidRDefault="00A73843" w:rsidP="001C5503">
      <w:pPr>
        <w:spacing w:after="0"/>
        <w:jc w:val="center"/>
        <w:rPr>
          <w:lang w:val="mk-MK"/>
        </w:rPr>
      </w:pPr>
    </w:p>
    <w:p w:rsidR="00A73843" w:rsidRDefault="00A73843" w:rsidP="001C5503">
      <w:pPr>
        <w:spacing w:after="0"/>
        <w:jc w:val="center"/>
        <w:rPr>
          <w:lang w:val="mk-MK"/>
        </w:rPr>
      </w:pPr>
    </w:p>
    <w:p w:rsidR="00A73843" w:rsidRDefault="00A73843" w:rsidP="001C5503">
      <w:pPr>
        <w:spacing w:after="0"/>
        <w:jc w:val="center"/>
        <w:rPr>
          <w:lang w:val="mk-MK"/>
        </w:rPr>
      </w:pPr>
    </w:p>
    <w:p w:rsidR="00A73843" w:rsidRDefault="00A73843" w:rsidP="001C5503">
      <w:pPr>
        <w:spacing w:after="0"/>
        <w:jc w:val="center"/>
        <w:rPr>
          <w:lang w:val="mk-MK"/>
        </w:rPr>
      </w:pPr>
    </w:p>
    <w:p w:rsidR="001C5503" w:rsidRPr="001C5503" w:rsidRDefault="001C5503" w:rsidP="003B426A">
      <w:pPr>
        <w:spacing w:after="0"/>
        <w:rPr>
          <w:b/>
          <w:lang w:val="mk-MK"/>
        </w:rPr>
      </w:pPr>
    </w:p>
    <w:tbl>
      <w:tblPr>
        <w:tblStyle w:val="TableGrid"/>
        <w:tblW w:w="9318" w:type="dxa"/>
        <w:tblLook w:val="04A0"/>
      </w:tblPr>
      <w:tblGrid>
        <w:gridCol w:w="818"/>
        <w:gridCol w:w="5563"/>
        <w:gridCol w:w="2937"/>
      </w:tblGrid>
      <w:tr w:rsidR="001C5503" w:rsidRPr="000345DA" w:rsidTr="0068459D">
        <w:trPr>
          <w:trHeight w:val="530"/>
        </w:trPr>
        <w:tc>
          <w:tcPr>
            <w:tcW w:w="818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lastRenderedPageBreak/>
              <w:t>А</w:t>
            </w:r>
          </w:p>
        </w:tc>
        <w:tc>
          <w:tcPr>
            <w:tcW w:w="5563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Аудиција</w:t>
            </w:r>
          </w:p>
        </w:tc>
        <w:tc>
          <w:tcPr>
            <w:tcW w:w="2937" w:type="dxa"/>
          </w:tcPr>
          <w:p w:rsidR="001C5503" w:rsidRPr="000345DA" w:rsidRDefault="001C5503" w:rsidP="001C5503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Добиени</w:t>
            </w:r>
            <w:r w:rsidRPr="000345DA">
              <w:rPr>
                <w:rFonts w:ascii="Times New Roman" w:hAnsi="Times New Roman" w:cs="Times New Roman"/>
                <w:lang w:val="mk-MK"/>
              </w:rPr>
              <w:t xml:space="preserve"> бодови</w:t>
            </w:r>
          </w:p>
        </w:tc>
      </w:tr>
      <w:tr w:rsidR="001C5503" w:rsidRPr="000345DA" w:rsidTr="0068459D">
        <w:trPr>
          <w:trHeight w:val="512"/>
        </w:trPr>
        <w:tc>
          <w:tcPr>
            <w:tcW w:w="818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0345DA">
              <w:rPr>
                <w:rFonts w:ascii="Times New Roman" w:hAnsi="Times New Roman" w:cs="Times New Roman"/>
                <w:lang w:val="mk-MK"/>
              </w:rPr>
              <w:t>1.</w:t>
            </w:r>
          </w:p>
        </w:tc>
        <w:tc>
          <w:tcPr>
            <w:tcW w:w="5563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Говорна техника</w:t>
            </w:r>
          </w:p>
        </w:tc>
        <w:tc>
          <w:tcPr>
            <w:tcW w:w="2937" w:type="dxa"/>
          </w:tcPr>
          <w:p w:rsidR="001C5503" w:rsidRPr="000345DA" w:rsidRDefault="001C5503" w:rsidP="001C5503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(0-10)                                </w:t>
            </w:r>
          </w:p>
        </w:tc>
      </w:tr>
      <w:tr w:rsidR="001C5503" w:rsidRPr="000345DA" w:rsidTr="0068459D">
        <w:trPr>
          <w:trHeight w:val="514"/>
        </w:trPr>
        <w:tc>
          <w:tcPr>
            <w:tcW w:w="818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0345DA">
              <w:rPr>
                <w:rFonts w:ascii="Times New Roman" w:hAnsi="Times New Roman" w:cs="Times New Roman"/>
                <w:lang w:val="mk-MK"/>
              </w:rPr>
              <w:t xml:space="preserve">2. </w:t>
            </w:r>
          </w:p>
        </w:tc>
        <w:tc>
          <w:tcPr>
            <w:tcW w:w="5563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Движење на сцена</w:t>
            </w:r>
          </w:p>
        </w:tc>
        <w:tc>
          <w:tcPr>
            <w:tcW w:w="2937" w:type="dxa"/>
          </w:tcPr>
          <w:p w:rsidR="001C5503" w:rsidRPr="000345DA" w:rsidRDefault="001C5503" w:rsidP="001C5503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(0-10)</w:t>
            </w:r>
          </w:p>
        </w:tc>
      </w:tr>
      <w:tr w:rsidR="001C5503" w:rsidRPr="000345DA" w:rsidTr="0068459D">
        <w:trPr>
          <w:trHeight w:val="514"/>
        </w:trPr>
        <w:tc>
          <w:tcPr>
            <w:tcW w:w="818" w:type="dxa"/>
          </w:tcPr>
          <w:p w:rsidR="001C5503" w:rsidRPr="000345DA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3.</w:t>
            </w:r>
          </w:p>
        </w:tc>
        <w:tc>
          <w:tcPr>
            <w:tcW w:w="5563" w:type="dxa"/>
          </w:tcPr>
          <w:p w:rsidR="001C5503" w:rsidRDefault="001C550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Способност за анализа на ликови и реализација</w:t>
            </w:r>
          </w:p>
        </w:tc>
        <w:tc>
          <w:tcPr>
            <w:tcW w:w="2937" w:type="dxa"/>
          </w:tcPr>
          <w:p w:rsidR="001C5503" w:rsidRDefault="001C5503" w:rsidP="001C5503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(0-10)</w:t>
            </w:r>
          </w:p>
        </w:tc>
      </w:tr>
      <w:tr w:rsidR="00750B30" w:rsidRPr="000345DA" w:rsidTr="0068459D">
        <w:trPr>
          <w:trHeight w:val="514"/>
        </w:trPr>
        <w:tc>
          <w:tcPr>
            <w:tcW w:w="6381" w:type="dxa"/>
            <w:gridSpan w:val="2"/>
          </w:tcPr>
          <w:p w:rsidR="00750B30" w:rsidRDefault="00750B30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Вкупно бодови</w:t>
            </w:r>
          </w:p>
        </w:tc>
        <w:tc>
          <w:tcPr>
            <w:tcW w:w="2937" w:type="dxa"/>
          </w:tcPr>
          <w:p w:rsidR="00750B30" w:rsidRDefault="00750B30" w:rsidP="001C5503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(0-30)</w:t>
            </w:r>
          </w:p>
        </w:tc>
      </w:tr>
    </w:tbl>
    <w:p w:rsidR="001C5503" w:rsidRDefault="001C5503" w:rsidP="003B426A">
      <w:pPr>
        <w:spacing w:after="0"/>
        <w:rPr>
          <w:b/>
          <w:lang w:val="mk-MK"/>
        </w:rPr>
      </w:pPr>
    </w:p>
    <w:p w:rsidR="00750B30" w:rsidRDefault="00750B30" w:rsidP="00750B30">
      <w:pPr>
        <w:spacing w:after="0"/>
        <w:jc w:val="center"/>
        <w:rPr>
          <w:lang w:val="mk-MK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бодување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категорија</w:t>
      </w:r>
      <w:proofErr w:type="spellEnd"/>
      <w:r>
        <w:t xml:space="preserve"> Б - </w:t>
      </w:r>
      <w:proofErr w:type="spellStart"/>
      <w:r>
        <w:t>уметнички</w:t>
      </w:r>
      <w:proofErr w:type="spellEnd"/>
      <w:r>
        <w:t xml:space="preserve"> </w:t>
      </w:r>
      <w:proofErr w:type="spellStart"/>
      <w:r>
        <w:t>соработници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подготвување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сценски</w:t>
      </w:r>
      <w:proofErr w:type="spellEnd"/>
      <w:r>
        <w:t xml:space="preserve"> и </w:t>
      </w:r>
      <w:proofErr w:type="spellStart"/>
      <w:r>
        <w:t>музичко</w:t>
      </w:r>
      <w:proofErr w:type="spellEnd"/>
      <w:r>
        <w:t xml:space="preserve"> </w:t>
      </w:r>
      <w:proofErr w:type="spellStart"/>
      <w:r>
        <w:t>сценски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категорија</w:t>
      </w:r>
      <w:proofErr w:type="spellEnd"/>
      <w:r>
        <w:t xml:space="preserve"> В -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сценски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 xml:space="preserve"> и </w:t>
      </w:r>
      <w:proofErr w:type="spellStart"/>
      <w:r>
        <w:t>категорија</w:t>
      </w:r>
      <w:proofErr w:type="spellEnd"/>
      <w:r>
        <w:t xml:space="preserve"> Г -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соработници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дејности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</w:p>
    <w:p w:rsidR="00750B30" w:rsidRDefault="00750B30" w:rsidP="00750B30">
      <w:pPr>
        <w:spacing w:after="0"/>
        <w:jc w:val="center"/>
        <w:rPr>
          <w:b/>
          <w:lang w:val="mk-MK"/>
        </w:rPr>
      </w:pPr>
    </w:p>
    <w:tbl>
      <w:tblPr>
        <w:tblStyle w:val="TableGrid"/>
        <w:tblW w:w="9318" w:type="dxa"/>
        <w:tblLook w:val="04A0"/>
      </w:tblPr>
      <w:tblGrid>
        <w:gridCol w:w="818"/>
        <w:gridCol w:w="5563"/>
        <w:gridCol w:w="2937"/>
      </w:tblGrid>
      <w:tr w:rsidR="0068459D" w:rsidRPr="000345DA" w:rsidTr="001D27D6">
        <w:trPr>
          <w:trHeight w:val="530"/>
        </w:trPr>
        <w:tc>
          <w:tcPr>
            <w:tcW w:w="818" w:type="dxa"/>
          </w:tcPr>
          <w:p w:rsidR="0068459D" w:rsidRPr="000345DA" w:rsidRDefault="0068459D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</w:t>
            </w:r>
          </w:p>
        </w:tc>
        <w:tc>
          <w:tcPr>
            <w:tcW w:w="5563" w:type="dxa"/>
          </w:tcPr>
          <w:p w:rsidR="0068459D" w:rsidRPr="000345DA" w:rsidRDefault="0068459D" w:rsidP="001D27D6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Интервју</w:t>
            </w:r>
          </w:p>
        </w:tc>
        <w:tc>
          <w:tcPr>
            <w:tcW w:w="2937" w:type="dxa"/>
          </w:tcPr>
          <w:p w:rsidR="0068459D" w:rsidRPr="000345DA" w:rsidRDefault="0068459D" w:rsidP="001D27D6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Добиени</w:t>
            </w:r>
            <w:r w:rsidRPr="000345DA">
              <w:rPr>
                <w:rFonts w:ascii="Times New Roman" w:hAnsi="Times New Roman" w:cs="Times New Roman"/>
                <w:lang w:val="mk-MK"/>
              </w:rPr>
              <w:t xml:space="preserve"> бодови</w:t>
            </w:r>
          </w:p>
        </w:tc>
      </w:tr>
      <w:tr w:rsidR="0068459D" w:rsidRPr="000345DA" w:rsidTr="001D27D6">
        <w:trPr>
          <w:trHeight w:val="512"/>
        </w:trPr>
        <w:tc>
          <w:tcPr>
            <w:tcW w:w="818" w:type="dxa"/>
          </w:tcPr>
          <w:p w:rsidR="0068459D" w:rsidRPr="000345DA" w:rsidRDefault="0068459D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0345DA">
              <w:rPr>
                <w:rFonts w:ascii="Times New Roman" w:hAnsi="Times New Roman" w:cs="Times New Roman"/>
                <w:lang w:val="mk-MK"/>
              </w:rPr>
              <w:t>1.</w:t>
            </w:r>
          </w:p>
        </w:tc>
        <w:tc>
          <w:tcPr>
            <w:tcW w:w="5563" w:type="dxa"/>
          </w:tcPr>
          <w:p w:rsidR="0068459D" w:rsidRPr="000345DA" w:rsidRDefault="005F7EC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Прашања за општите компетенции</w:t>
            </w:r>
          </w:p>
        </w:tc>
        <w:tc>
          <w:tcPr>
            <w:tcW w:w="2937" w:type="dxa"/>
          </w:tcPr>
          <w:p w:rsidR="0068459D" w:rsidRPr="000345DA" w:rsidRDefault="0068459D" w:rsidP="001D27D6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(0-10)                                </w:t>
            </w:r>
          </w:p>
        </w:tc>
      </w:tr>
      <w:tr w:rsidR="0068459D" w:rsidRPr="000345DA" w:rsidTr="001D27D6">
        <w:trPr>
          <w:trHeight w:val="514"/>
        </w:trPr>
        <w:tc>
          <w:tcPr>
            <w:tcW w:w="818" w:type="dxa"/>
          </w:tcPr>
          <w:p w:rsidR="0068459D" w:rsidRPr="000345DA" w:rsidRDefault="0068459D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0345DA">
              <w:rPr>
                <w:rFonts w:ascii="Times New Roman" w:hAnsi="Times New Roman" w:cs="Times New Roman"/>
                <w:lang w:val="mk-MK"/>
              </w:rPr>
              <w:t xml:space="preserve">2. </w:t>
            </w:r>
          </w:p>
        </w:tc>
        <w:tc>
          <w:tcPr>
            <w:tcW w:w="5563" w:type="dxa"/>
          </w:tcPr>
          <w:p w:rsidR="0068459D" w:rsidRPr="000345DA" w:rsidRDefault="005F7EC3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Прашања за општите компетенци</w:t>
            </w:r>
          </w:p>
        </w:tc>
        <w:tc>
          <w:tcPr>
            <w:tcW w:w="2937" w:type="dxa"/>
          </w:tcPr>
          <w:p w:rsidR="0068459D" w:rsidRPr="000345DA" w:rsidRDefault="0068459D" w:rsidP="001D27D6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(0-10)</w:t>
            </w:r>
          </w:p>
        </w:tc>
      </w:tr>
      <w:tr w:rsidR="0068459D" w:rsidRPr="000345DA" w:rsidTr="001D27D6">
        <w:trPr>
          <w:trHeight w:val="514"/>
        </w:trPr>
        <w:tc>
          <w:tcPr>
            <w:tcW w:w="6381" w:type="dxa"/>
            <w:gridSpan w:val="2"/>
          </w:tcPr>
          <w:p w:rsidR="0068459D" w:rsidRDefault="0068459D" w:rsidP="001D27D6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Вкупно бодови</w:t>
            </w:r>
          </w:p>
        </w:tc>
        <w:tc>
          <w:tcPr>
            <w:tcW w:w="2937" w:type="dxa"/>
          </w:tcPr>
          <w:p w:rsidR="0068459D" w:rsidRDefault="005F7EC3" w:rsidP="001D27D6">
            <w:pPr>
              <w:jc w:val="right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(0-2</w:t>
            </w:r>
            <w:r w:rsidR="0068459D">
              <w:rPr>
                <w:rFonts w:ascii="Times New Roman" w:hAnsi="Times New Roman" w:cs="Times New Roman"/>
                <w:lang w:val="mk-MK"/>
              </w:rPr>
              <w:t>0)</w:t>
            </w:r>
          </w:p>
        </w:tc>
      </w:tr>
    </w:tbl>
    <w:p w:rsidR="0068459D" w:rsidRDefault="0068459D" w:rsidP="0068459D">
      <w:pPr>
        <w:spacing w:after="0"/>
        <w:rPr>
          <w:b/>
          <w:lang w:val="mk-MK"/>
        </w:rPr>
      </w:pPr>
    </w:p>
    <w:p w:rsidR="001D54D3" w:rsidRPr="001D54D3" w:rsidRDefault="001D54D3" w:rsidP="001D54D3">
      <w:pPr>
        <w:spacing w:after="0"/>
        <w:jc w:val="center"/>
        <w:rPr>
          <w:b/>
          <w:lang w:val="mk-MK"/>
        </w:rPr>
      </w:pPr>
      <w:proofErr w:type="spellStart"/>
      <w:r w:rsidRPr="001D54D3">
        <w:rPr>
          <w:b/>
        </w:rPr>
        <w:t>Член</w:t>
      </w:r>
      <w:proofErr w:type="spellEnd"/>
      <w:r w:rsidRPr="001D54D3">
        <w:rPr>
          <w:b/>
        </w:rPr>
        <w:t xml:space="preserve"> </w:t>
      </w:r>
      <w:r w:rsidRPr="001D54D3">
        <w:rPr>
          <w:b/>
          <w:lang w:val="mk-MK"/>
        </w:rPr>
        <w:t>13</w:t>
      </w:r>
    </w:p>
    <w:p w:rsidR="001D54D3" w:rsidRDefault="001D54D3" w:rsidP="0068459D">
      <w:pPr>
        <w:spacing w:after="0"/>
        <w:rPr>
          <w:lang w:val="mk-MK"/>
        </w:rPr>
      </w:pPr>
      <w:r>
        <w:t xml:space="preserve"> </w:t>
      </w:r>
      <w:proofErr w:type="spellStart"/>
      <w:proofErr w:type="gramStart"/>
      <w:r>
        <w:t>Овој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влегува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донесување</w:t>
      </w:r>
      <w:proofErr w:type="spellEnd"/>
      <w:r>
        <w:t>.</w:t>
      </w:r>
      <w:proofErr w:type="gramEnd"/>
    </w:p>
    <w:p w:rsidR="00187241" w:rsidRDefault="00187241" w:rsidP="0068459D">
      <w:pPr>
        <w:spacing w:after="0"/>
        <w:rPr>
          <w:lang w:val="mk-MK"/>
        </w:rPr>
      </w:pPr>
    </w:p>
    <w:p w:rsidR="00315108" w:rsidRDefault="00315108" w:rsidP="00187241">
      <w:pPr>
        <w:spacing w:after="0"/>
        <w:jc w:val="right"/>
        <w:rPr>
          <w:lang w:val="en-US"/>
        </w:rPr>
      </w:pPr>
    </w:p>
    <w:p w:rsidR="00187241" w:rsidRDefault="00187241" w:rsidP="00187241">
      <w:pPr>
        <w:spacing w:after="0"/>
        <w:jc w:val="right"/>
        <w:rPr>
          <w:lang w:val="mk-MK"/>
        </w:rPr>
      </w:pPr>
      <w:r>
        <w:rPr>
          <w:lang w:val="mk-MK"/>
        </w:rPr>
        <w:t>Претседател на Управен одбор</w:t>
      </w:r>
    </w:p>
    <w:p w:rsidR="00187241" w:rsidRDefault="00187241" w:rsidP="00187241">
      <w:pPr>
        <w:spacing w:after="0"/>
        <w:jc w:val="right"/>
        <w:rPr>
          <w:lang w:val="mk-MK"/>
        </w:rPr>
      </w:pPr>
      <w:r>
        <w:rPr>
          <w:lang w:val="mk-MK"/>
        </w:rPr>
        <w:t>НУЦК Антон Панов – Струмица</w:t>
      </w:r>
    </w:p>
    <w:p w:rsidR="00187241" w:rsidRDefault="00187241" w:rsidP="00187241">
      <w:pPr>
        <w:spacing w:after="0"/>
        <w:jc w:val="right"/>
        <w:rPr>
          <w:lang w:val="mk-MK"/>
        </w:rPr>
      </w:pPr>
      <w:r>
        <w:rPr>
          <w:lang w:val="mk-MK"/>
        </w:rPr>
        <w:t>Зорица Костадинова</w:t>
      </w:r>
    </w:p>
    <w:p w:rsidR="00187241" w:rsidRPr="00187241" w:rsidRDefault="00187241" w:rsidP="00187241">
      <w:pPr>
        <w:spacing w:after="0"/>
        <w:jc w:val="right"/>
        <w:rPr>
          <w:b/>
          <w:lang w:val="en-US"/>
        </w:rPr>
      </w:pPr>
      <w:r>
        <w:rPr>
          <w:lang w:val="en-US"/>
        </w:rPr>
        <w:t>________________________</w:t>
      </w:r>
    </w:p>
    <w:sectPr w:rsidR="00187241" w:rsidRPr="00187241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100897"/>
    <w:rsid w:val="00166D86"/>
    <w:rsid w:val="00187241"/>
    <w:rsid w:val="001C5503"/>
    <w:rsid w:val="001D54D3"/>
    <w:rsid w:val="00315108"/>
    <w:rsid w:val="00371026"/>
    <w:rsid w:val="0037363F"/>
    <w:rsid w:val="003B426A"/>
    <w:rsid w:val="003C7303"/>
    <w:rsid w:val="005037FF"/>
    <w:rsid w:val="005F5ED5"/>
    <w:rsid w:val="005F7EC3"/>
    <w:rsid w:val="0068459D"/>
    <w:rsid w:val="00750B30"/>
    <w:rsid w:val="00753ACA"/>
    <w:rsid w:val="00771DF6"/>
    <w:rsid w:val="00811F03"/>
    <w:rsid w:val="00877172"/>
    <w:rsid w:val="0096491A"/>
    <w:rsid w:val="00A117B6"/>
    <w:rsid w:val="00A73843"/>
    <w:rsid w:val="00AD0459"/>
    <w:rsid w:val="00C52A4D"/>
    <w:rsid w:val="00D06B8D"/>
    <w:rsid w:val="00DD57D4"/>
    <w:rsid w:val="00E24AC6"/>
    <w:rsid w:val="00F3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66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C55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17</cp:revision>
  <cp:lastPrinted>2025-07-30T13:44:00Z</cp:lastPrinted>
  <dcterms:created xsi:type="dcterms:W3CDTF">2025-07-30T11:44:00Z</dcterms:created>
  <dcterms:modified xsi:type="dcterms:W3CDTF">2025-07-30T14:12:00Z</dcterms:modified>
</cp:coreProperties>
</file>